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media/image2.png" ContentType="image/png"/>
  <Override PartName="/word/media/image1.jpeg" ContentType="image/jpeg"/>
  <Override PartName="/word/media/image3.jpeg" ContentType="image/jpeg"/>
  <Override PartName="/word/media/image5.jpeg" ContentType="image/jpeg"/>
  <Override PartName="/word/media/image4.jpeg" ContentType="image/jpeg"/>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4"/>
        </w:numPr>
        <w:spacing w:before="240" w:after="120"/>
        <w:rPr/>
      </w:pPr>
      <w:bookmarkStart w:id="0" w:name="__RefHeading___Toc6597_3320701940"/>
      <w:bookmarkEnd w:id="0"/>
      <w:r>
        <w:rPr/>
        <w:t>Implementation</w:t>
      </w:r>
    </w:p>
    <w:p>
      <w:pPr>
        <w:pStyle w:val="TextBody"/>
        <w:numPr>
          <w:ilvl w:val="0"/>
          <w:numId w:val="4"/>
        </w:numPr>
        <w:rPr/>
      </w:pPr>
      <w:r>
        <w:rPr/>
        <w:t>This section discusses our project implementation, including procurement of parts and assembly.</w:t>
      </w:r>
    </w:p>
    <w:p>
      <w:pPr>
        <w:pStyle w:val="Heading2"/>
        <w:numPr>
          <w:ilvl w:val="1"/>
          <w:numId w:val="3"/>
        </w:numPr>
        <w:rPr/>
      </w:pPr>
      <w:r>
        <w:rPr/>
        <w:t>Component Procurement</w:t>
      </w:r>
    </w:p>
    <w:p>
      <w:pPr>
        <w:pStyle w:val="TextBody"/>
        <w:rPr/>
      </w:pPr>
      <w:r>
        <w:rPr>
          <w:color w:val="000000" w:themeColor="text1"/>
        </w:rPr>
        <w:t>We identified three alternatives for where to get components from.</w:t>
      </w:r>
    </w:p>
    <w:p>
      <w:pPr>
        <w:pStyle w:val="TextBody"/>
        <w:numPr>
          <w:ilvl w:val="0"/>
          <w:numId w:val="5"/>
        </w:numPr>
        <w:rPr/>
      </w:pPr>
      <w:r>
        <w:rPr>
          <w:color w:val="000000" w:themeColor="text1"/>
        </w:rPr>
        <w:t>Ordering from the global websites like Digikey. Advantages of this choice is availability of almost all type of components in various ratings. However, it has disadvantageous like being very expensive due to Dollar- TL currency and additional taxes and long delivery time.</w:t>
      </w:r>
    </w:p>
    <w:p>
      <w:pPr>
        <w:pStyle w:val="TextBody"/>
        <w:numPr>
          <w:ilvl w:val="0"/>
          <w:numId w:val="5"/>
        </w:numPr>
        <w:rPr/>
      </w:pPr>
      <w:r>
        <w:rPr>
          <w:color w:val="000000" w:themeColor="text1"/>
        </w:rPr>
        <w:t>Buying from local shops like in Konya Sokak. Advantages of that is we can get directly to components without a delivery time. Disadvantages of this choice are lack of datasheets and limited variety of components. We have used this choice as an emergency way.</w:t>
      </w:r>
    </w:p>
    <w:p>
      <w:pPr>
        <w:pStyle w:val="TextBody"/>
        <w:numPr>
          <w:ilvl w:val="0"/>
          <w:numId w:val="5"/>
        </w:numPr>
        <w:rPr/>
      </w:pPr>
      <w:r>
        <w:rPr>
          <w:color w:val="000000" w:themeColor="text1"/>
        </w:rPr>
        <w:t>Ordering from websites like Direnc.net or Robotistan. Advantages of that is availability of large amount of type at affordable prices and 2 or 3 days delivery time.</w:t>
      </w:r>
    </w:p>
    <w:p>
      <w:pPr>
        <w:pStyle w:val="TextBody"/>
        <w:rPr/>
      </w:pPr>
      <w:r>
        <w:rPr/>
        <w:t>As a result, we get initial componenents from Direnc.net, additional compenents were supplied by local shops, specifically replacement of the bridge diode after the original one failed. We tried to find an enclosure and larger heat sinks for the diode bridge and triac locally, but we were not successful.</w:t>
      </w:r>
    </w:p>
    <w:p>
      <w:pPr>
        <w:pStyle w:val="TextBody"/>
        <w:rPr/>
      </w:pPr>
      <w:r>
        <w:rPr/>
        <w:fldChar w:fldCharType="begin"/>
      </w:r>
      <w:r>
        <w:rPr/>
        <w:instrText> REF Ref_Table0_label_and_number \h </w:instrText>
      </w:r>
      <w:r>
        <w:rPr/>
        <w:fldChar w:fldCharType="separate"/>
      </w:r>
      <w:r>
        <w:rPr/>
        <w:t>Table 1</w:t>
      </w:r>
      <w:r>
        <w:rPr/>
        <w:fldChar w:fldCharType="end"/>
      </w:r>
      <w:r>
        <w:rPr/>
        <w:t xml:space="preserve"> </w:t>
      </w:r>
      <w:r>
        <w:rPr/>
        <w:t>lists the complete bill of materials for the project along with the procurement source and pricing. The total cost of materials for the project was approximately 95 TL.</w:t>
      </w:r>
    </w:p>
    <w:p>
      <w:pPr>
        <w:pStyle w:val="Table"/>
        <w:keepNext w:val="true"/>
        <w:rPr/>
      </w:pPr>
      <w:bookmarkStart w:id="1" w:name="Ref_Table0_label_and_number"/>
      <w:r>
        <w:rPr/>
        <w:t xml:space="preserve">Table </w:t>
      </w:r>
      <w:r>
        <w:rPr/>
        <w:fldChar w:fldCharType="begin"/>
      </w:r>
      <w:r>
        <w:rPr/>
        <w:instrText> SEQ Table \* ARABIC </w:instrText>
      </w:r>
      <w:r>
        <w:rPr/>
        <w:fldChar w:fldCharType="separate"/>
      </w:r>
      <w:r>
        <w:rPr/>
        <w:t>1</w:t>
      </w:r>
      <w:r>
        <w:rPr/>
        <w:fldChar w:fldCharType="end"/>
      </w:r>
      <w:bookmarkEnd w:id="1"/>
      <w:r>
        <w:rPr/>
        <w:t>: Bill of Material</w:t>
      </w:r>
    </w:p>
    <w:tbl>
      <w:tblPr>
        <w:tblW w:w="9026" w:type="dxa"/>
        <w:jc w:val="left"/>
        <w:tblInd w:w="55" w:type="dxa"/>
        <w:tblCellMar>
          <w:top w:w="55" w:type="dxa"/>
          <w:left w:w="55" w:type="dxa"/>
          <w:bottom w:w="55" w:type="dxa"/>
          <w:right w:w="55" w:type="dxa"/>
        </w:tblCellMar>
        <w:tblLook w:noVBand="1" w:val="04a0" w:noHBand="0" w:lastColumn="0" w:firstColumn="1" w:lastRow="0" w:firstRow="1"/>
      </w:tblPr>
      <w:tblGrid>
        <w:gridCol w:w="1502"/>
        <w:gridCol w:w="3897"/>
        <w:gridCol w:w="985"/>
        <w:gridCol w:w="899"/>
        <w:gridCol w:w="1743"/>
      </w:tblGrid>
      <w:tr>
        <w:trPr>
          <w:tblHeader w:val="true"/>
          <w:cantSplit w:val="true"/>
        </w:trPr>
        <w:tc>
          <w:tcPr>
            <w:tcW w:w="1502" w:type="dxa"/>
            <w:tcBorders>
              <w:top w:val="single" w:sz="8" w:space="0" w:color="000000"/>
              <w:bottom w:val="single" w:sz="2" w:space="0" w:color="000000"/>
            </w:tcBorders>
            <w:shd w:color="auto" w:fill="auto" w:val="clear"/>
            <w:vAlign w:val="center"/>
          </w:tcPr>
          <w:p>
            <w:pPr>
              <w:pStyle w:val="TableContents"/>
              <w:jc w:val="center"/>
              <w:rPr>
                <w:b/>
                <w:b/>
              </w:rPr>
            </w:pPr>
            <w:r>
              <w:rPr>
                <w:b/>
              </w:rPr>
              <w:t>Qty</w:t>
            </w:r>
          </w:p>
        </w:tc>
        <w:tc>
          <w:tcPr>
            <w:tcW w:w="3897" w:type="dxa"/>
            <w:tcBorders>
              <w:top w:val="single" w:sz="8" w:space="0" w:color="000000"/>
              <w:bottom w:val="single" w:sz="2" w:space="0" w:color="000000"/>
            </w:tcBorders>
            <w:shd w:color="auto" w:fill="auto" w:val="clear"/>
            <w:vAlign w:val="center"/>
          </w:tcPr>
          <w:p>
            <w:pPr>
              <w:pStyle w:val="TableContents"/>
              <w:rPr>
                <w:b/>
                <w:b/>
              </w:rPr>
            </w:pPr>
            <w:r>
              <w:rPr>
                <w:b/>
              </w:rPr>
              <w:t>Description</w:t>
            </w:r>
          </w:p>
        </w:tc>
        <w:tc>
          <w:tcPr>
            <w:tcW w:w="985" w:type="dxa"/>
            <w:tcBorders>
              <w:top w:val="single" w:sz="8" w:space="0" w:color="000000"/>
              <w:bottom w:val="single" w:sz="2" w:space="0" w:color="000000"/>
            </w:tcBorders>
            <w:shd w:color="auto" w:fill="auto" w:val="clear"/>
            <w:vAlign w:val="center"/>
          </w:tcPr>
          <w:p>
            <w:pPr>
              <w:pStyle w:val="TableContents"/>
              <w:jc w:val="center"/>
              <w:rPr>
                <w:b/>
                <w:b/>
              </w:rPr>
            </w:pPr>
            <w:r>
              <w:rPr>
                <w:b/>
              </w:rPr>
              <w:t>Unit Price</w:t>
            </w:r>
          </w:p>
        </w:tc>
        <w:tc>
          <w:tcPr>
            <w:tcW w:w="899" w:type="dxa"/>
            <w:tcBorders>
              <w:top w:val="single" w:sz="8" w:space="0" w:color="000000"/>
              <w:bottom w:val="single" w:sz="2" w:space="0" w:color="000000"/>
            </w:tcBorders>
            <w:shd w:color="auto" w:fill="auto" w:val="clear"/>
            <w:vAlign w:val="center"/>
          </w:tcPr>
          <w:p>
            <w:pPr>
              <w:pStyle w:val="TableContents"/>
              <w:jc w:val="center"/>
              <w:rPr>
                <w:b/>
                <w:b/>
              </w:rPr>
            </w:pPr>
            <w:r>
              <w:rPr>
                <w:b/>
              </w:rPr>
              <w:t>Ext. Price</w:t>
            </w:r>
          </w:p>
        </w:tc>
        <w:tc>
          <w:tcPr>
            <w:tcW w:w="1743" w:type="dxa"/>
            <w:tcBorders>
              <w:top w:val="single" w:sz="8" w:space="0" w:color="000000"/>
              <w:bottom w:val="single" w:sz="2" w:space="0" w:color="000000"/>
            </w:tcBorders>
            <w:shd w:color="auto" w:fill="auto" w:val="clear"/>
            <w:vAlign w:val="center"/>
          </w:tcPr>
          <w:p>
            <w:pPr>
              <w:pStyle w:val="TableContents"/>
              <w:jc w:val="center"/>
              <w:rPr>
                <w:b/>
                <w:b/>
              </w:rPr>
            </w:pPr>
            <w:r>
              <w:rPr>
                <w:b/>
              </w:rPr>
              <w:t>Source</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4mm Protected Born Jack, Red (DC+)</w:t>
            </w:r>
          </w:p>
        </w:tc>
        <w:tc>
          <w:tcPr>
            <w:tcW w:w="985" w:type="dxa"/>
            <w:tcBorders/>
            <w:shd w:color="auto" w:fill="auto" w:val="clear"/>
          </w:tcPr>
          <w:p>
            <w:pPr>
              <w:pStyle w:val="TableContents"/>
              <w:jc w:val="center"/>
              <w:rPr/>
            </w:pPr>
            <w:r>
              <w:rPr/>
              <w:t>2.86</w:t>
            </w:r>
          </w:p>
        </w:tc>
        <w:tc>
          <w:tcPr>
            <w:tcW w:w="899" w:type="dxa"/>
            <w:tcBorders/>
            <w:shd w:color="auto" w:fill="auto" w:val="clear"/>
          </w:tcPr>
          <w:p>
            <w:pPr>
              <w:pStyle w:val="TableContents"/>
              <w:jc w:val="center"/>
              <w:rPr/>
            </w:pPr>
            <w:r>
              <w:rPr/>
              <w:t>2.86</w:t>
            </w:r>
          </w:p>
        </w:tc>
        <w:tc>
          <w:tcPr>
            <w:tcW w:w="1743" w:type="dxa"/>
            <w:tcBorders/>
            <w:shd w:color="auto" w:fill="auto" w:val="clear"/>
          </w:tcPr>
          <w:p>
            <w:pPr>
              <w:pStyle w:val="TableContents"/>
              <w:jc w:val="center"/>
              <w:rPr/>
            </w:pPr>
            <w:r>
              <w:rPr/>
              <w:t>Direnc.net</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4mm Protected Born Jack, Black (DC-)</w:t>
            </w:r>
          </w:p>
        </w:tc>
        <w:tc>
          <w:tcPr>
            <w:tcW w:w="985" w:type="dxa"/>
            <w:tcBorders/>
            <w:shd w:color="auto" w:fill="auto" w:val="clear"/>
          </w:tcPr>
          <w:p>
            <w:pPr>
              <w:pStyle w:val="TableContents"/>
              <w:jc w:val="center"/>
              <w:rPr/>
            </w:pPr>
            <w:r>
              <w:rPr/>
              <w:t>2.86</w:t>
            </w:r>
          </w:p>
        </w:tc>
        <w:tc>
          <w:tcPr>
            <w:tcW w:w="899" w:type="dxa"/>
            <w:tcBorders/>
            <w:shd w:color="auto" w:fill="auto" w:val="clear"/>
          </w:tcPr>
          <w:p>
            <w:pPr>
              <w:pStyle w:val="TableContents"/>
              <w:jc w:val="center"/>
              <w:rPr/>
            </w:pPr>
            <w:r>
              <w:rPr/>
              <w:t>2.86</w:t>
            </w:r>
          </w:p>
        </w:tc>
        <w:tc>
          <w:tcPr>
            <w:tcW w:w="1743" w:type="dxa"/>
            <w:tcBorders/>
            <w:shd w:color="auto" w:fill="auto" w:val="clear"/>
          </w:tcPr>
          <w:p>
            <w:pPr>
              <w:pStyle w:val="TableContents"/>
              <w:jc w:val="center"/>
              <w:rPr/>
            </w:pPr>
            <w:r>
              <w:rPr/>
              <w:t>Direnc.net</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4mm Protected Born Jack, Brown (AC L1)</w:t>
            </w:r>
          </w:p>
        </w:tc>
        <w:tc>
          <w:tcPr>
            <w:tcW w:w="985" w:type="dxa"/>
            <w:tcBorders/>
            <w:shd w:color="auto" w:fill="auto" w:val="clear"/>
          </w:tcPr>
          <w:p>
            <w:pPr>
              <w:pStyle w:val="TableContents"/>
              <w:jc w:val="center"/>
              <w:rPr/>
            </w:pPr>
            <w:r>
              <w:rPr/>
              <w:t>2.86</w:t>
            </w:r>
          </w:p>
        </w:tc>
        <w:tc>
          <w:tcPr>
            <w:tcW w:w="899" w:type="dxa"/>
            <w:tcBorders/>
            <w:shd w:color="auto" w:fill="auto" w:val="clear"/>
          </w:tcPr>
          <w:p>
            <w:pPr>
              <w:pStyle w:val="TableContents"/>
              <w:jc w:val="center"/>
              <w:rPr/>
            </w:pPr>
            <w:r>
              <w:rPr/>
              <w:t>2.86</w:t>
            </w:r>
          </w:p>
        </w:tc>
        <w:tc>
          <w:tcPr>
            <w:tcW w:w="1743" w:type="dxa"/>
            <w:tcBorders/>
            <w:shd w:color="auto" w:fill="auto" w:val="clear"/>
          </w:tcPr>
          <w:p>
            <w:pPr>
              <w:pStyle w:val="TableContents"/>
              <w:jc w:val="center"/>
              <w:rPr/>
            </w:pPr>
            <w:r>
              <w:rPr/>
              <w:t>Direnc.net</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4mm Protected Born Jack, Blue (AC N)</w:t>
            </w:r>
          </w:p>
        </w:tc>
        <w:tc>
          <w:tcPr>
            <w:tcW w:w="985" w:type="dxa"/>
            <w:tcBorders/>
            <w:shd w:color="auto" w:fill="auto" w:val="clear"/>
          </w:tcPr>
          <w:p>
            <w:pPr>
              <w:pStyle w:val="TableContents"/>
              <w:jc w:val="center"/>
              <w:rPr/>
            </w:pPr>
            <w:r>
              <w:rPr/>
              <w:t>2.86</w:t>
            </w:r>
          </w:p>
        </w:tc>
        <w:tc>
          <w:tcPr>
            <w:tcW w:w="899" w:type="dxa"/>
            <w:tcBorders/>
            <w:shd w:color="auto" w:fill="auto" w:val="clear"/>
          </w:tcPr>
          <w:p>
            <w:pPr>
              <w:pStyle w:val="TableContents"/>
              <w:jc w:val="center"/>
              <w:rPr/>
            </w:pPr>
            <w:r>
              <w:rPr/>
              <w:t>2.86</w:t>
            </w:r>
          </w:p>
        </w:tc>
        <w:tc>
          <w:tcPr>
            <w:tcW w:w="1743" w:type="dxa"/>
            <w:tcBorders/>
            <w:shd w:color="auto" w:fill="auto" w:val="clear"/>
          </w:tcPr>
          <w:p>
            <w:pPr>
              <w:pStyle w:val="TableContents"/>
              <w:jc w:val="center"/>
              <w:rPr/>
            </w:pPr>
            <w:r>
              <w:rPr/>
              <w:t>Direnc.net</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20mm Fuse Holder</w:t>
            </w:r>
          </w:p>
        </w:tc>
        <w:tc>
          <w:tcPr>
            <w:tcW w:w="985" w:type="dxa"/>
            <w:tcBorders/>
            <w:shd w:color="auto" w:fill="auto" w:val="clear"/>
          </w:tcPr>
          <w:p>
            <w:pPr>
              <w:pStyle w:val="TableContents"/>
              <w:jc w:val="center"/>
              <w:rPr/>
            </w:pPr>
            <w:r>
              <w:rPr/>
              <w:t>1.09</w:t>
            </w:r>
          </w:p>
        </w:tc>
        <w:tc>
          <w:tcPr>
            <w:tcW w:w="899" w:type="dxa"/>
            <w:tcBorders/>
            <w:shd w:color="auto" w:fill="auto" w:val="clear"/>
          </w:tcPr>
          <w:p>
            <w:pPr>
              <w:pStyle w:val="TableContents"/>
              <w:jc w:val="center"/>
              <w:rPr/>
            </w:pPr>
            <w:r>
              <w:rPr/>
              <w:t>1.09</w:t>
            </w:r>
          </w:p>
        </w:tc>
        <w:tc>
          <w:tcPr>
            <w:tcW w:w="1743" w:type="dxa"/>
            <w:tcBorders/>
            <w:shd w:color="auto" w:fill="auto" w:val="clear"/>
          </w:tcPr>
          <w:p>
            <w:pPr>
              <w:pStyle w:val="TableContents"/>
              <w:jc w:val="center"/>
              <w:rPr/>
            </w:pPr>
            <w:r>
              <w:rPr/>
              <w:t>Direnc.net</w:t>
            </w:r>
          </w:p>
        </w:tc>
      </w:tr>
      <w:tr>
        <w:trPr>
          <w:cantSplit w:val="true"/>
        </w:trPr>
        <w:tc>
          <w:tcPr>
            <w:tcW w:w="1502" w:type="dxa"/>
            <w:tcBorders/>
            <w:shd w:color="auto" w:fill="auto" w:val="clear"/>
          </w:tcPr>
          <w:p>
            <w:pPr>
              <w:pStyle w:val="TableContents"/>
              <w:jc w:val="center"/>
              <w:rPr/>
            </w:pPr>
            <w:r>
              <w:rPr/>
              <w:t>5</w:t>
            </w:r>
          </w:p>
        </w:tc>
        <w:tc>
          <w:tcPr>
            <w:tcW w:w="3897" w:type="dxa"/>
            <w:tcBorders/>
            <w:shd w:color="auto" w:fill="auto" w:val="clear"/>
          </w:tcPr>
          <w:p>
            <w:pPr>
              <w:pStyle w:val="TableContents"/>
              <w:rPr/>
            </w:pPr>
            <w:r>
              <w:rPr/>
              <w:t>5x20mm Glass Fuse</w:t>
            </w:r>
          </w:p>
        </w:tc>
        <w:tc>
          <w:tcPr>
            <w:tcW w:w="985" w:type="dxa"/>
            <w:tcBorders/>
            <w:shd w:color="auto" w:fill="auto" w:val="clear"/>
          </w:tcPr>
          <w:p>
            <w:pPr>
              <w:pStyle w:val="TableContents"/>
              <w:jc w:val="center"/>
              <w:rPr/>
            </w:pPr>
            <w:r>
              <w:rPr/>
              <w:t>0.15</w:t>
            </w:r>
          </w:p>
        </w:tc>
        <w:tc>
          <w:tcPr>
            <w:tcW w:w="899" w:type="dxa"/>
            <w:tcBorders/>
            <w:shd w:color="auto" w:fill="auto" w:val="clear"/>
          </w:tcPr>
          <w:p>
            <w:pPr>
              <w:pStyle w:val="TableContents"/>
              <w:jc w:val="center"/>
              <w:rPr/>
            </w:pPr>
            <w:r>
              <w:rPr/>
              <w:t>0.75</w:t>
            </w:r>
          </w:p>
        </w:tc>
        <w:tc>
          <w:tcPr>
            <w:tcW w:w="1743" w:type="dxa"/>
            <w:tcBorders/>
            <w:shd w:color="auto" w:fill="auto" w:val="clear"/>
          </w:tcPr>
          <w:p>
            <w:pPr>
              <w:pStyle w:val="TableContents"/>
              <w:jc w:val="center"/>
              <w:rPr/>
            </w:pPr>
            <w:r>
              <w:rPr/>
              <w:t>Direnc.net</w:t>
            </w:r>
          </w:p>
        </w:tc>
      </w:tr>
      <w:tr>
        <w:trPr>
          <w:cantSplit w:val="true"/>
        </w:trPr>
        <w:tc>
          <w:tcPr>
            <w:tcW w:w="1502" w:type="dxa"/>
            <w:tcBorders/>
            <w:shd w:color="auto" w:fill="auto" w:val="clear"/>
          </w:tcPr>
          <w:p>
            <w:pPr>
              <w:pStyle w:val="TableContents"/>
              <w:jc w:val="center"/>
              <w:rPr/>
            </w:pPr>
            <w:r>
              <w:rPr/>
              <w:t>5</w:t>
            </w:r>
          </w:p>
        </w:tc>
        <w:tc>
          <w:tcPr>
            <w:tcW w:w="3897" w:type="dxa"/>
            <w:tcBorders/>
            <w:shd w:color="auto" w:fill="auto" w:val="clear"/>
          </w:tcPr>
          <w:p>
            <w:pPr>
              <w:pStyle w:val="TableContents"/>
              <w:rPr/>
            </w:pPr>
            <w:r>
              <w:rPr/>
              <w:t>5x20mm Glass Fuse</w:t>
            </w:r>
          </w:p>
        </w:tc>
        <w:tc>
          <w:tcPr>
            <w:tcW w:w="985" w:type="dxa"/>
            <w:tcBorders/>
            <w:shd w:color="auto" w:fill="auto" w:val="clear"/>
          </w:tcPr>
          <w:p>
            <w:pPr>
              <w:pStyle w:val="TableContents"/>
              <w:jc w:val="center"/>
              <w:rPr/>
            </w:pPr>
            <w:r>
              <w:rPr/>
              <w:t>0.15</w:t>
            </w:r>
          </w:p>
        </w:tc>
        <w:tc>
          <w:tcPr>
            <w:tcW w:w="899" w:type="dxa"/>
            <w:tcBorders/>
            <w:shd w:color="auto" w:fill="auto" w:val="clear"/>
          </w:tcPr>
          <w:p>
            <w:pPr>
              <w:pStyle w:val="TableContents"/>
              <w:jc w:val="center"/>
              <w:rPr/>
            </w:pPr>
            <w:r>
              <w:rPr/>
              <w:t>0.75</w:t>
            </w:r>
          </w:p>
        </w:tc>
        <w:tc>
          <w:tcPr>
            <w:tcW w:w="1743" w:type="dxa"/>
            <w:tcBorders/>
            <w:shd w:color="auto" w:fill="auto" w:val="clear"/>
          </w:tcPr>
          <w:p>
            <w:pPr>
              <w:pStyle w:val="TableContents"/>
              <w:jc w:val="center"/>
              <w:rPr/>
            </w:pPr>
            <w:r>
              <w:rPr/>
              <w:t>Direnc.net</w:t>
            </w:r>
          </w:p>
        </w:tc>
      </w:tr>
      <w:tr>
        <w:trPr>
          <w:cantSplit w:val="true"/>
        </w:trPr>
        <w:tc>
          <w:tcPr>
            <w:tcW w:w="1502" w:type="dxa"/>
            <w:tcBorders/>
            <w:shd w:color="auto" w:fill="auto" w:val="clear"/>
          </w:tcPr>
          <w:p>
            <w:pPr>
              <w:pStyle w:val="TableContents"/>
              <w:jc w:val="center"/>
              <w:rPr/>
            </w:pPr>
            <w:r>
              <w:rPr/>
              <w:t>2</w:t>
            </w:r>
          </w:p>
        </w:tc>
        <w:tc>
          <w:tcPr>
            <w:tcW w:w="3897" w:type="dxa"/>
            <w:tcBorders/>
            <w:shd w:color="auto" w:fill="auto" w:val="clear"/>
          </w:tcPr>
          <w:p>
            <w:pPr>
              <w:pStyle w:val="TableContents"/>
              <w:rPr/>
            </w:pPr>
            <w:r>
              <w:rPr/>
              <w:t>Capacitor, polyester 100nF 400V</w:t>
            </w:r>
          </w:p>
        </w:tc>
        <w:tc>
          <w:tcPr>
            <w:tcW w:w="985" w:type="dxa"/>
            <w:tcBorders/>
            <w:shd w:color="auto" w:fill="auto" w:val="clear"/>
          </w:tcPr>
          <w:p>
            <w:pPr>
              <w:pStyle w:val="TableContents"/>
              <w:jc w:val="center"/>
              <w:rPr/>
            </w:pPr>
            <w:r>
              <w:rPr/>
              <w:t>0.66</w:t>
            </w:r>
          </w:p>
        </w:tc>
        <w:tc>
          <w:tcPr>
            <w:tcW w:w="899" w:type="dxa"/>
            <w:tcBorders/>
            <w:shd w:color="auto" w:fill="auto" w:val="clear"/>
          </w:tcPr>
          <w:p>
            <w:pPr>
              <w:pStyle w:val="TableContents"/>
              <w:jc w:val="center"/>
              <w:rPr/>
            </w:pPr>
            <w:r>
              <w:rPr/>
              <w:t>1.32</w:t>
            </w:r>
          </w:p>
        </w:tc>
        <w:tc>
          <w:tcPr>
            <w:tcW w:w="1743" w:type="dxa"/>
            <w:tcBorders/>
            <w:shd w:color="auto" w:fill="auto" w:val="clear"/>
          </w:tcPr>
          <w:p>
            <w:pPr>
              <w:pStyle w:val="TableContents"/>
              <w:jc w:val="center"/>
              <w:rPr/>
            </w:pPr>
            <w:r>
              <w:rPr/>
              <w:t>Direnc.net</w:t>
            </w:r>
          </w:p>
        </w:tc>
      </w:tr>
      <w:tr>
        <w:trPr>
          <w:cantSplit w:val="true"/>
        </w:trPr>
        <w:tc>
          <w:tcPr>
            <w:tcW w:w="1502" w:type="dxa"/>
            <w:tcBorders/>
            <w:shd w:color="auto" w:fill="auto" w:val="clear"/>
          </w:tcPr>
          <w:p>
            <w:pPr>
              <w:pStyle w:val="TableContents"/>
              <w:jc w:val="center"/>
              <w:rPr/>
            </w:pPr>
            <w:r>
              <w:rPr/>
              <w:t>2</w:t>
            </w:r>
          </w:p>
        </w:tc>
        <w:tc>
          <w:tcPr>
            <w:tcW w:w="3897" w:type="dxa"/>
            <w:tcBorders/>
            <w:shd w:color="auto" w:fill="auto" w:val="clear"/>
          </w:tcPr>
          <w:p>
            <w:pPr>
              <w:pStyle w:val="TableContents"/>
              <w:rPr/>
            </w:pPr>
            <w:r>
              <w:rPr/>
              <w:t>Resistor 1kΩ 0.125W</w:t>
            </w:r>
          </w:p>
        </w:tc>
        <w:tc>
          <w:tcPr>
            <w:tcW w:w="985" w:type="dxa"/>
            <w:tcBorders/>
            <w:shd w:color="auto" w:fill="auto" w:val="clear"/>
          </w:tcPr>
          <w:p>
            <w:pPr>
              <w:pStyle w:val="TableContents"/>
              <w:jc w:val="center"/>
              <w:rPr/>
            </w:pPr>
            <w:r>
              <w:rPr/>
              <w:t>0.03</w:t>
            </w:r>
          </w:p>
        </w:tc>
        <w:tc>
          <w:tcPr>
            <w:tcW w:w="899" w:type="dxa"/>
            <w:tcBorders/>
            <w:shd w:color="auto" w:fill="auto" w:val="clear"/>
          </w:tcPr>
          <w:p>
            <w:pPr>
              <w:pStyle w:val="TableContents"/>
              <w:jc w:val="center"/>
              <w:rPr/>
            </w:pPr>
            <w:r>
              <w:rPr/>
              <w:t>0.06</w:t>
            </w:r>
          </w:p>
        </w:tc>
        <w:tc>
          <w:tcPr>
            <w:tcW w:w="1743" w:type="dxa"/>
            <w:tcBorders/>
            <w:shd w:color="auto" w:fill="auto" w:val="clear"/>
          </w:tcPr>
          <w:p>
            <w:pPr>
              <w:pStyle w:val="TableContents"/>
              <w:jc w:val="center"/>
              <w:rPr/>
            </w:pPr>
            <w:r>
              <w:rPr/>
              <w:t>Team stock</w:t>
            </w:r>
          </w:p>
        </w:tc>
      </w:tr>
      <w:tr>
        <w:trPr>
          <w:cantSplit w:val="true"/>
        </w:trPr>
        <w:tc>
          <w:tcPr>
            <w:tcW w:w="1502" w:type="dxa"/>
            <w:tcBorders/>
            <w:shd w:color="auto" w:fill="auto" w:val="clear"/>
          </w:tcPr>
          <w:p>
            <w:pPr>
              <w:pStyle w:val="TableContents"/>
              <w:jc w:val="center"/>
              <w:rPr/>
            </w:pPr>
            <w:r>
              <w:rPr/>
              <w:t>2</w:t>
            </w:r>
          </w:p>
        </w:tc>
        <w:tc>
          <w:tcPr>
            <w:tcW w:w="3897" w:type="dxa"/>
            <w:tcBorders/>
            <w:shd w:color="auto" w:fill="auto" w:val="clear"/>
          </w:tcPr>
          <w:p>
            <w:pPr>
              <w:pStyle w:val="TableContents"/>
              <w:rPr/>
            </w:pPr>
            <w:r>
              <w:rPr/>
              <w:t>Resistor 15kΩ 0.125W</w:t>
            </w:r>
          </w:p>
        </w:tc>
        <w:tc>
          <w:tcPr>
            <w:tcW w:w="985" w:type="dxa"/>
            <w:tcBorders/>
            <w:shd w:color="auto" w:fill="auto" w:val="clear"/>
          </w:tcPr>
          <w:p>
            <w:pPr>
              <w:pStyle w:val="TableContents"/>
              <w:jc w:val="center"/>
              <w:rPr/>
            </w:pPr>
            <w:r>
              <w:rPr/>
              <w:t>0.03</w:t>
            </w:r>
          </w:p>
        </w:tc>
        <w:tc>
          <w:tcPr>
            <w:tcW w:w="899" w:type="dxa"/>
            <w:tcBorders/>
            <w:shd w:color="auto" w:fill="auto" w:val="clear"/>
          </w:tcPr>
          <w:p>
            <w:pPr>
              <w:pStyle w:val="TableContents"/>
              <w:jc w:val="center"/>
              <w:rPr/>
            </w:pPr>
            <w:r>
              <w:rPr/>
              <w:t>0.06</w:t>
            </w:r>
          </w:p>
        </w:tc>
        <w:tc>
          <w:tcPr>
            <w:tcW w:w="1743" w:type="dxa"/>
            <w:tcBorders/>
            <w:shd w:color="auto" w:fill="auto" w:val="clear"/>
          </w:tcPr>
          <w:p>
            <w:pPr>
              <w:pStyle w:val="TableContents"/>
              <w:jc w:val="center"/>
              <w:rPr/>
            </w:pPr>
            <w:r>
              <w:rPr/>
              <w:t>Team stock</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Potentiometer, 220 kΩ</w:t>
            </w:r>
          </w:p>
        </w:tc>
        <w:tc>
          <w:tcPr>
            <w:tcW w:w="985" w:type="dxa"/>
            <w:tcBorders/>
            <w:shd w:color="auto" w:fill="auto" w:val="clear"/>
          </w:tcPr>
          <w:p>
            <w:pPr>
              <w:pStyle w:val="TableContents"/>
              <w:jc w:val="center"/>
              <w:rPr/>
            </w:pPr>
            <w:r>
              <w:rPr/>
              <w:t>1.02</w:t>
            </w:r>
          </w:p>
        </w:tc>
        <w:tc>
          <w:tcPr>
            <w:tcW w:w="899" w:type="dxa"/>
            <w:tcBorders/>
            <w:shd w:color="auto" w:fill="auto" w:val="clear"/>
          </w:tcPr>
          <w:p>
            <w:pPr>
              <w:pStyle w:val="TableContents"/>
              <w:jc w:val="center"/>
              <w:rPr/>
            </w:pPr>
            <w:r>
              <w:rPr/>
              <w:t>1.02</w:t>
            </w:r>
          </w:p>
        </w:tc>
        <w:tc>
          <w:tcPr>
            <w:tcW w:w="1743" w:type="dxa"/>
            <w:tcBorders/>
            <w:shd w:color="auto" w:fill="auto" w:val="clear"/>
          </w:tcPr>
          <w:p>
            <w:pPr>
              <w:pStyle w:val="TableContents"/>
              <w:jc w:val="center"/>
              <w:rPr/>
            </w:pPr>
            <w:r>
              <w:rPr/>
              <w:t>Konya Sk.</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Potentiometer, 220 kΩ</w:t>
            </w:r>
          </w:p>
        </w:tc>
        <w:tc>
          <w:tcPr>
            <w:tcW w:w="985" w:type="dxa"/>
            <w:tcBorders/>
            <w:shd w:color="auto" w:fill="auto" w:val="clear"/>
          </w:tcPr>
          <w:p>
            <w:pPr>
              <w:pStyle w:val="TableContents"/>
              <w:jc w:val="center"/>
              <w:rPr/>
            </w:pPr>
            <w:r>
              <w:rPr/>
              <w:t>1.02</w:t>
            </w:r>
          </w:p>
        </w:tc>
        <w:tc>
          <w:tcPr>
            <w:tcW w:w="899" w:type="dxa"/>
            <w:tcBorders/>
            <w:shd w:color="auto" w:fill="auto" w:val="clear"/>
          </w:tcPr>
          <w:p>
            <w:pPr>
              <w:pStyle w:val="TableContents"/>
              <w:jc w:val="center"/>
              <w:rPr/>
            </w:pPr>
            <w:r>
              <w:rPr/>
              <w:t>1.02</w:t>
            </w:r>
          </w:p>
        </w:tc>
        <w:tc>
          <w:tcPr>
            <w:tcW w:w="1743" w:type="dxa"/>
            <w:tcBorders/>
            <w:shd w:color="auto" w:fill="auto" w:val="clear"/>
          </w:tcPr>
          <w:p>
            <w:pPr>
              <w:pStyle w:val="TableContents"/>
              <w:jc w:val="center"/>
              <w:rPr/>
            </w:pPr>
            <w:r>
              <w:rPr/>
              <w:t>Konya Sk.</w:t>
            </w:r>
          </w:p>
        </w:tc>
      </w:tr>
      <w:tr>
        <w:trPr>
          <w:cantSplit w:val="true"/>
        </w:trPr>
        <w:tc>
          <w:tcPr>
            <w:tcW w:w="1502" w:type="dxa"/>
            <w:tcBorders/>
            <w:shd w:color="auto" w:fill="auto" w:val="clear"/>
          </w:tcPr>
          <w:p>
            <w:pPr>
              <w:pStyle w:val="TableContents"/>
              <w:jc w:val="center"/>
              <w:rPr/>
            </w:pPr>
            <w:r>
              <w:rPr/>
              <w:t>2</w:t>
            </w:r>
          </w:p>
        </w:tc>
        <w:tc>
          <w:tcPr>
            <w:tcW w:w="3897" w:type="dxa"/>
            <w:tcBorders/>
            <w:shd w:color="auto" w:fill="auto" w:val="clear"/>
          </w:tcPr>
          <w:p>
            <w:pPr>
              <w:pStyle w:val="TableContents"/>
              <w:rPr/>
            </w:pPr>
            <w:r>
              <w:rPr/>
              <w:t>Potentiometer knob</w:t>
            </w:r>
          </w:p>
        </w:tc>
        <w:tc>
          <w:tcPr>
            <w:tcW w:w="985" w:type="dxa"/>
            <w:tcBorders/>
            <w:shd w:color="auto" w:fill="auto" w:val="clear"/>
          </w:tcPr>
          <w:p>
            <w:pPr>
              <w:pStyle w:val="TableContents"/>
              <w:jc w:val="center"/>
              <w:rPr/>
            </w:pPr>
            <w:r>
              <w:rPr/>
              <w:t>0.68</w:t>
            </w:r>
          </w:p>
        </w:tc>
        <w:tc>
          <w:tcPr>
            <w:tcW w:w="899" w:type="dxa"/>
            <w:tcBorders/>
            <w:shd w:color="auto" w:fill="auto" w:val="clear"/>
          </w:tcPr>
          <w:p>
            <w:pPr>
              <w:pStyle w:val="TableContents"/>
              <w:jc w:val="center"/>
              <w:rPr/>
            </w:pPr>
            <w:r>
              <w:rPr/>
              <w:t>1.36</w:t>
            </w:r>
          </w:p>
        </w:tc>
        <w:tc>
          <w:tcPr>
            <w:tcW w:w="1743" w:type="dxa"/>
            <w:tcBorders/>
            <w:shd w:color="auto" w:fill="auto" w:val="clear"/>
          </w:tcPr>
          <w:p>
            <w:pPr>
              <w:pStyle w:val="TableContents"/>
              <w:jc w:val="center"/>
              <w:rPr/>
            </w:pPr>
            <w:r>
              <w:rPr/>
              <w:t>Konya Sk.</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Diode bridge, 35A 1000V</w:t>
            </w:r>
          </w:p>
        </w:tc>
        <w:tc>
          <w:tcPr>
            <w:tcW w:w="985" w:type="dxa"/>
            <w:tcBorders/>
            <w:shd w:color="auto" w:fill="auto" w:val="clear"/>
          </w:tcPr>
          <w:p>
            <w:pPr>
              <w:pStyle w:val="TableContents"/>
              <w:jc w:val="center"/>
              <w:rPr/>
            </w:pPr>
            <w:r>
              <w:rPr/>
              <w:t>5.80</w:t>
            </w:r>
          </w:p>
        </w:tc>
        <w:tc>
          <w:tcPr>
            <w:tcW w:w="899" w:type="dxa"/>
            <w:tcBorders/>
            <w:shd w:color="auto" w:fill="auto" w:val="clear"/>
          </w:tcPr>
          <w:p>
            <w:pPr>
              <w:pStyle w:val="TableContents"/>
              <w:jc w:val="center"/>
              <w:rPr/>
            </w:pPr>
            <w:r>
              <w:rPr/>
              <w:t>5.80</w:t>
            </w:r>
          </w:p>
        </w:tc>
        <w:tc>
          <w:tcPr>
            <w:tcW w:w="1743" w:type="dxa"/>
            <w:tcBorders/>
            <w:shd w:color="auto" w:fill="auto" w:val="clear"/>
          </w:tcPr>
          <w:p>
            <w:pPr>
              <w:pStyle w:val="TableContents"/>
              <w:jc w:val="center"/>
              <w:rPr/>
            </w:pPr>
            <w:r>
              <w:rPr/>
              <w:t>Direnc.net &amp; Konya Sk.</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Heat sink (diode bridge)</w:t>
            </w:r>
          </w:p>
        </w:tc>
        <w:tc>
          <w:tcPr>
            <w:tcW w:w="985" w:type="dxa"/>
            <w:tcBorders/>
            <w:shd w:color="auto" w:fill="auto" w:val="clear"/>
          </w:tcPr>
          <w:p>
            <w:pPr>
              <w:pStyle w:val="TableContents"/>
              <w:jc w:val="center"/>
              <w:rPr/>
            </w:pPr>
            <w:r>
              <w:rPr/>
              <w:t>9.50</w:t>
            </w:r>
          </w:p>
        </w:tc>
        <w:tc>
          <w:tcPr>
            <w:tcW w:w="899" w:type="dxa"/>
            <w:tcBorders/>
            <w:shd w:color="auto" w:fill="auto" w:val="clear"/>
          </w:tcPr>
          <w:p>
            <w:pPr>
              <w:pStyle w:val="TableContents"/>
              <w:jc w:val="center"/>
              <w:rPr/>
            </w:pPr>
            <w:r>
              <w:rPr/>
              <w:t>9.50</w:t>
            </w:r>
          </w:p>
        </w:tc>
        <w:tc>
          <w:tcPr>
            <w:tcW w:w="1743" w:type="dxa"/>
            <w:tcBorders/>
            <w:shd w:color="auto" w:fill="auto" w:val="clear"/>
          </w:tcPr>
          <w:p>
            <w:pPr>
              <w:pStyle w:val="TableContents"/>
              <w:jc w:val="center"/>
              <w:rPr/>
            </w:pPr>
            <w:r>
              <w:rPr/>
              <w:t>Local Electronic Repair Shop</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Screw (diode bridge heat sink)</w:t>
            </w:r>
          </w:p>
        </w:tc>
        <w:tc>
          <w:tcPr>
            <w:tcW w:w="985" w:type="dxa"/>
            <w:tcBorders/>
            <w:shd w:color="auto" w:fill="auto" w:val="clear"/>
          </w:tcPr>
          <w:p>
            <w:pPr>
              <w:pStyle w:val="TableContents"/>
              <w:jc w:val="center"/>
              <w:rPr/>
            </w:pPr>
            <w:r>
              <w:rPr/>
              <w:t>0.50</w:t>
            </w:r>
          </w:p>
        </w:tc>
        <w:tc>
          <w:tcPr>
            <w:tcW w:w="899" w:type="dxa"/>
            <w:tcBorders/>
            <w:shd w:color="auto" w:fill="auto" w:val="clear"/>
          </w:tcPr>
          <w:p>
            <w:pPr>
              <w:pStyle w:val="TableContents"/>
              <w:jc w:val="center"/>
              <w:rPr/>
            </w:pPr>
            <w:r>
              <w:rPr/>
              <w:t>0.50</w:t>
            </w:r>
          </w:p>
        </w:tc>
        <w:tc>
          <w:tcPr>
            <w:tcW w:w="1743" w:type="dxa"/>
            <w:tcBorders/>
            <w:shd w:color="auto" w:fill="auto" w:val="clear"/>
          </w:tcPr>
          <w:p>
            <w:pPr>
              <w:pStyle w:val="TableContents"/>
              <w:jc w:val="center"/>
              <w:rPr/>
            </w:pPr>
            <w:r>
              <w:rPr/>
              <w:t>Local Electronic Repair Shop</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Triac, 25A 600V (BTA26)</w:t>
            </w:r>
          </w:p>
        </w:tc>
        <w:tc>
          <w:tcPr>
            <w:tcW w:w="985" w:type="dxa"/>
            <w:tcBorders/>
            <w:shd w:color="auto" w:fill="auto" w:val="clear"/>
          </w:tcPr>
          <w:p>
            <w:pPr>
              <w:pStyle w:val="TableContents"/>
              <w:jc w:val="center"/>
              <w:rPr/>
            </w:pPr>
            <w:r>
              <w:rPr/>
              <w:t>11.59</w:t>
            </w:r>
          </w:p>
        </w:tc>
        <w:tc>
          <w:tcPr>
            <w:tcW w:w="899" w:type="dxa"/>
            <w:tcBorders/>
            <w:shd w:color="auto" w:fill="auto" w:val="clear"/>
          </w:tcPr>
          <w:p>
            <w:pPr>
              <w:pStyle w:val="TableContents"/>
              <w:jc w:val="center"/>
              <w:rPr/>
            </w:pPr>
            <w:r>
              <w:rPr/>
              <w:t>11.59</w:t>
            </w:r>
          </w:p>
        </w:tc>
        <w:tc>
          <w:tcPr>
            <w:tcW w:w="1743" w:type="dxa"/>
            <w:tcBorders/>
            <w:shd w:color="auto" w:fill="auto" w:val="clear"/>
          </w:tcPr>
          <w:p>
            <w:pPr>
              <w:pStyle w:val="TableContents"/>
              <w:jc w:val="center"/>
              <w:rPr/>
            </w:pPr>
            <w:r>
              <w:rPr/>
              <w:t>Direnc.net</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Heat sink (triac)</w:t>
            </w:r>
          </w:p>
        </w:tc>
        <w:tc>
          <w:tcPr>
            <w:tcW w:w="985" w:type="dxa"/>
            <w:tcBorders/>
            <w:shd w:color="auto" w:fill="auto" w:val="clear"/>
          </w:tcPr>
          <w:p>
            <w:pPr>
              <w:pStyle w:val="TableContents"/>
              <w:jc w:val="center"/>
              <w:rPr/>
            </w:pPr>
            <w:r>
              <w:rPr/>
              <w:t>9.50</w:t>
            </w:r>
          </w:p>
        </w:tc>
        <w:tc>
          <w:tcPr>
            <w:tcW w:w="899" w:type="dxa"/>
            <w:tcBorders/>
            <w:shd w:color="auto" w:fill="auto" w:val="clear"/>
          </w:tcPr>
          <w:p>
            <w:pPr>
              <w:pStyle w:val="TableContents"/>
              <w:jc w:val="center"/>
              <w:rPr/>
            </w:pPr>
            <w:r>
              <w:rPr/>
              <w:t>9.50</w:t>
            </w:r>
          </w:p>
        </w:tc>
        <w:tc>
          <w:tcPr>
            <w:tcW w:w="1743" w:type="dxa"/>
            <w:tcBorders/>
            <w:shd w:color="auto" w:fill="auto" w:val="clear"/>
          </w:tcPr>
          <w:p>
            <w:pPr>
              <w:pStyle w:val="TableContents"/>
              <w:jc w:val="center"/>
              <w:rPr/>
            </w:pPr>
            <w:r>
              <w:rPr/>
              <w:t>Local Electronic Repair Shop</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Screw (triac heat sink)</w:t>
            </w:r>
          </w:p>
        </w:tc>
        <w:tc>
          <w:tcPr>
            <w:tcW w:w="985" w:type="dxa"/>
            <w:tcBorders/>
            <w:shd w:color="auto" w:fill="auto" w:val="clear"/>
          </w:tcPr>
          <w:p>
            <w:pPr>
              <w:pStyle w:val="TableContents"/>
              <w:jc w:val="center"/>
              <w:rPr/>
            </w:pPr>
            <w:r>
              <w:rPr/>
              <w:t>0.50</w:t>
            </w:r>
          </w:p>
        </w:tc>
        <w:tc>
          <w:tcPr>
            <w:tcW w:w="899" w:type="dxa"/>
            <w:tcBorders/>
            <w:shd w:color="auto" w:fill="auto" w:val="clear"/>
          </w:tcPr>
          <w:p>
            <w:pPr>
              <w:pStyle w:val="TableContents"/>
              <w:jc w:val="center"/>
              <w:rPr/>
            </w:pPr>
            <w:r>
              <w:rPr/>
              <w:t>0.50</w:t>
            </w:r>
          </w:p>
        </w:tc>
        <w:tc>
          <w:tcPr>
            <w:tcW w:w="1743" w:type="dxa"/>
            <w:tcBorders/>
            <w:shd w:color="auto" w:fill="auto" w:val="clear"/>
          </w:tcPr>
          <w:p>
            <w:pPr>
              <w:pStyle w:val="TableContents"/>
              <w:jc w:val="center"/>
              <w:rPr/>
            </w:pPr>
            <w:r>
              <w:rPr/>
              <w:t>Local Electronic Repair Shop</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Thermal paste</w:t>
            </w:r>
          </w:p>
        </w:tc>
        <w:tc>
          <w:tcPr>
            <w:tcW w:w="985" w:type="dxa"/>
            <w:tcBorders/>
            <w:shd w:color="auto" w:fill="auto" w:val="clear"/>
          </w:tcPr>
          <w:p>
            <w:pPr>
              <w:pStyle w:val="TableContents"/>
              <w:rPr/>
            </w:pPr>
            <w:r>
              <w:rPr/>
            </w:r>
          </w:p>
        </w:tc>
        <w:tc>
          <w:tcPr>
            <w:tcW w:w="899" w:type="dxa"/>
            <w:tcBorders/>
            <w:shd w:color="auto" w:fill="auto" w:val="clear"/>
          </w:tcPr>
          <w:p>
            <w:pPr>
              <w:pStyle w:val="TableContents"/>
              <w:rPr/>
            </w:pPr>
            <w:r>
              <w:rPr/>
            </w:r>
          </w:p>
        </w:tc>
        <w:tc>
          <w:tcPr>
            <w:tcW w:w="1743" w:type="dxa"/>
            <w:tcBorders/>
            <w:shd w:color="auto" w:fill="auto" w:val="clear"/>
          </w:tcPr>
          <w:p>
            <w:pPr>
              <w:pStyle w:val="TableContents"/>
              <w:jc w:val="center"/>
              <w:rPr/>
            </w:pPr>
            <w:r>
              <w:rPr/>
              <w:t>Team stock</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Diac, 36V trigger</w:t>
            </w:r>
          </w:p>
        </w:tc>
        <w:tc>
          <w:tcPr>
            <w:tcW w:w="985" w:type="dxa"/>
            <w:tcBorders/>
            <w:shd w:color="auto" w:fill="auto" w:val="clear"/>
          </w:tcPr>
          <w:p>
            <w:pPr>
              <w:pStyle w:val="TableContents"/>
              <w:jc w:val="center"/>
              <w:rPr/>
            </w:pPr>
            <w:r>
              <w:rPr/>
              <w:t>0.14</w:t>
            </w:r>
          </w:p>
        </w:tc>
        <w:tc>
          <w:tcPr>
            <w:tcW w:w="899" w:type="dxa"/>
            <w:tcBorders/>
            <w:shd w:color="auto" w:fill="auto" w:val="clear"/>
          </w:tcPr>
          <w:p>
            <w:pPr>
              <w:pStyle w:val="TableContents"/>
              <w:jc w:val="center"/>
              <w:rPr/>
            </w:pPr>
            <w:r>
              <w:rPr/>
              <w:t>0.14</w:t>
            </w:r>
          </w:p>
        </w:tc>
        <w:tc>
          <w:tcPr>
            <w:tcW w:w="1743" w:type="dxa"/>
            <w:tcBorders/>
            <w:shd w:color="auto" w:fill="auto" w:val="clear"/>
          </w:tcPr>
          <w:p>
            <w:pPr>
              <w:pStyle w:val="TableContents"/>
              <w:jc w:val="center"/>
              <w:rPr/>
            </w:pPr>
            <w:r>
              <w:rPr/>
              <w:t>Direnc.net</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Terminal Block, 3-pin</w:t>
            </w:r>
          </w:p>
        </w:tc>
        <w:tc>
          <w:tcPr>
            <w:tcW w:w="985" w:type="dxa"/>
            <w:tcBorders/>
            <w:shd w:color="auto" w:fill="auto" w:val="clear"/>
          </w:tcPr>
          <w:p>
            <w:pPr>
              <w:pStyle w:val="TableContents"/>
              <w:jc w:val="center"/>
              <w:rPr/>
            </w:pPr>
            <w:r>
              <w:rPr/>
              <w:t>3.57</w:t>
            </w:r>
          </w:p>
        </w:tc>
        <w:tc>
          <w:tcPr>
            <w:tcW w:w="899" w:type="dxa"/>
            <w:tcBorders/>
            <w:shd w:color="auto" w:fill="auto" w:val="clear"/>
          </w:tcPr>
          <w:p>
            <w:pPr>
              <w:pStyle w:val="TableContents"/>
              <w:jc w:val="center"/>
              <w:rPr/>
            </w:pPr>
            <w:r>
              <w:rPr/>
              <w:t>3.57</w:t>
            </w:r>
          </w:p>
        </w:tc>
        <w:tc>
          <w:tcPr>
            <w:tcW w:w="1743" w:type="dxa"/>
            <w:tcBorders/>
            <w:shd w:color="auto" w:fill="auto" w:val="clear"/>
          </w:tcPr>
          <w:p>
            <w:pPr>
              <w:pStyle w:val="TableContents"/>
              <w:jc w:val="center"/>
              <w:rPr/>
            </w:pPr>
            <w:r>
              <w:rPr/>
              <w:t>Direnc.net</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Perfboard 12x12</w:t>
            </w:r>
          </w:p>
        </w:tc>
        <w:tc>
          <w:tcPr>
            <w:tcW w:w="985" w:type="dxa"/>
            <w:tcBorders/>
            <w:shd w:color="auto" w:fill="auto" w:val="clear"/>
          </w:tcPr>
          <w:p>
            <w:pPr>
              <w:pStyle w:val="TableContents"/>
              <w:jc w:val="center"/>
              <w:rPr/>
            </w:pPr>
            <w:r>
              <w:rPr/>
              <w:t>6.82</w:t>
            </w:r>
          </w:p>
        </w:tc>
        <w:tc>
          <w:tcPr>
            <w:tcW w:w="899" w:type="dxa"/>
            <w:tcBorders/>
            <w:shd w:color="auto" w:fill="auto" w:val="clear"/>
          </w:tcPr>
          <w:p>
            <w:pPr>
              <w:pStyle w:val="TableContents"/>
              <w:jc w:val="center"/>
              <w:rPr/>
            </w:pPr>
            <w:r>
              <w:rPr/>
              <w:t>6.82</w:t>
            </w:r>
          </w:p>
        </w:tc>
        <w:tc>
          <w:tcPr>
            <w:tcW w:w="1743" w:type="dxa"/>
            <w:tcBorders/>
            <w:shd w:color="auto" w:fill="auto" w:val="clear"/>
          </w:tcPr>
          <w:p>
            <w:pPr>
              <w:pStyle w:val="TableContents"/>
              <w:jc w:val="center"/>
              <w:rPr/>
            </w:pPr>
            <w:r>
              <w:rPr/>
              <w:t>Class materials</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Wire</w:t>
            </w:r>
          </w:p>
        </w:tc>
        <w:tc>
          <w:tcPr>
            <w:tcW w:w="985" w:type="dxa"/>
            <w:tcBorders/>
            <w:shd w:color="auto" w:fill="auto" w:val="clear"/>
          </w:tcPr>
          <w:p>
            <w:pPr>
              <w:pStyle w:val="TableContents"/>
              <w:jc w:val="center"/>
              <w:rPr/>
            </w:pPr>
            <w:r>
              <w:rPr/>
              <w:t>10.00</w:t>
            </w:r>
          </w:p>
        </w:tc>
        <w:tc>
          <w:tcPr>
            <w:tcW w:w="899" w:type="dxa"/>
            <w:tcBorders/>
            <w:shd w:color="auto" w:fill="auto" w:val="clear"/>
          </w:tcPr>
          <w:p>
            <w:pPr>
              <w:pStyle w:val="TableContents"/>
              <w:jc w:val="center"/>
              <w:rPr/>
            </w:pPr>
            <w:r>
              <w:rPr/>
              <w:t>10.00</w:t>
            </w:r>
          </w:p>
        </w:tc>
        <w:tc>
          <w:tcPr>
            <w:tcW w:w="1743" w:type="dxa"/>
            <w:tcBorders/>
            <w:shd w:color="auto" w:fill="auto" w:val="clear"/>
          </w:tcPr>
          <w:p>
            <w:pPr>
              <w:pStyle w:val="TableContents"/>
              <w:jc w:val="center"/>
              <w:rPr/>
            </w:pPr>
            <w:r>
              <w:rPr/>
              <w:t>Local Electrical Shop</w:t>
            </w:r>
          </w:p>
        </w:tc>
      </w:tr>
      <w:tr>
        <w:trPr>
          <w:cantSplit w:val="true"/>
        </w:trPr>
        <w:tc>
          <w:tcPr>
            <w:tcW w:w="1502" w:type="dxa"/>
            <w:tcBorders/>
            <w:shd w:color="auto" w:fill="auto" w:val="clear"/>
          </w:tcPr>
          <w:p>
            <w:pPr>
              <w:pStyle w:val="TableContents"/>
              <w:jc w:val="center"/>
              <w:rPr/>
            </w:pPr>
            <w:r>
              <w:rPr/>
              <w:t>1</w:t>
            </w:r>
          </w:p>
        </w:tc>
        <w:tc>
          <w:tcPr>
            <w:tcW w:w="3897" w:type="dxa"/>
            <w:tcBorders/>
            <w:shd w:color="auto" w:fill="auto" w:val="clear"/>
          </w:tcPr>
          <w:p>
            <w:pPr>
              <w:pStyle w:val="TableContents"/>
              <w:rPr/>
            </w:pPr>
            <w:r>
              <w:rPr/>
              <w:t>Enclosure, 85x155x60mm</w:t>
            </w:r>
          </w:p>
        </w:tc>
        <w:tc>
          <w:tcPr>
            <w:tcW w:w="985" w:type="dxa"/>
            <w:tcBorders/>
            <w:shd w:color="auto" w:fill="auto" w:val="clear"/>
          </w:tcPr>
          <w:p>
            <w:pPr>
              <w:pStyle w:val="TableContents"/>
              <w:jc w:val="center"/>
              <w:rPr/>
            </w:pPr>
            <w:r>
              <w:rPr/>
              <w:t>18.68</w:t>
            </w:r>
          </w:p>
        </w:tc>
        <w:tc>
          <w:tcPr>
            <w:tcW w:w="899" w:type="dxa"/>
            <w:tcBorders/>
            <w:shd w:color="auto" w:fill="auto" w:val="clear"/>
          </w:tcPr>
          <w:p>
            <w:pPr>
              <w:pStyle w:val="TableContents"/>
              <w:jc w:val="center"/>
              <w:rPr/>
            </w:pPr>
            <w:r>
              <w:rPr/>
              <w:t>18.68</w:t>
            </w:r>
          </w:p>
        </w:tc>
        <w:tc>
          <w:tcPr>
            <w:tcW w:w="1743" w:type="dxa"/>
            <w:tcBorders/>
            <w:shd w:color="auto" w:fill="auto" w:val="clear"/>
          </w:tcPr>
          <w:p>
            <w:pPr>
              <w:pStyle w:val="TableContents"/>
              <w:jc w:val="center"/>
              <w:rPr/>
            </w:pPr>
            <w:r>
              <w:rPr/>
              <w:t>Direnc.net</w:t>
            </w:r>
          </w:p>
        </w:tc>
      </w:tr>
      <w:tr>
        <w:trPr>
          <w:cantSplit w:val="true"/>
        </w:trPr>
        <w:tc>
          <w:tcPr>
            <w:tcW w:w="1502" w:type="dxa"/>
            <w:tcBorders>
              <w:bottom w:val="single" w:sz="8" w:space="0" w:color="000000"/>
            </w:tcBorders>
            <w:shd w:color="auto" w:fill="auto" w:val="clear"/>
          </w:tcPr>
          <w:p>
            <w:pPr>
              <w:pStyle w:val="TableContents"/>
              <w:rPr/>
            </w:pPr>
            <w:r>
              <w:rPr/>
            </w:r>
          </w:p>
        </w:tc>
        <w:tc>
          <w:tcPr>
            <w:tcW w:w="3897" w:type="dxa"/>
            <w:tcBorders>
              <w:bottom w:val="single" w:sz="8" w:space="0" w:color="000000"/>
            </w:tcBorders>
            <w:shd w:color="auto" w:fill="auto" w:val="clear"/>
          </w:tcPr>
          <w:p>
            <w:pPr>
              <w:pStyle w:val="TableContents"/>
              <w:rPr>
                <w:b/>
                <w:b/>
                <w:bCs/>
              </w:rPr>
            </w:pPr>
            <w:r>
              <w:rPr>
                <w:b/>
                <w:bCs/>
              </w:rPr>
              <w:t>TOTAL</w:t>
            </w:r>
          </w:p>
        </w:tc>
        <w:tc>
          <w:tcPr>
            <w:tcW w:w="985" w:type="dxa"/>
            <w:tcBorders>
              <w:bottom w:val="single" w:sz="8" w:space="0" w:color="000000"/>
            </w:tcBorders>
            <w:shd w:color="auto" w:fill="auto" w:val="clear"/>
          </w:tcPr>
          <w:p>
            <w:pPr>
              <w:pStyle w:val="TableContents"/>
              <w:rPr/>
            </w:pPr>
            <w:r>
              <w:rPr/>
            </w:r>
          </w:p>
        </w:tc>
        <w:tc>
          <w:tcPr>
            <w:tcW w:w="899" w:type="dxa"/>
            <w:tcBorders>
              <w:bottom w:val="single" w:sz="8" w:space="0" w:color="000000"/>
            </w:tcBorders>
            <w:shd w:color="auto" w:fill="auto" w:val="clear"/>
          </w:tcPr>
          <w:p>
            <w:pPr>
              <w:pStyle w:val="TableContents"/>
              <w:jc w:val="center"/>
              <w:rPr>
                <w:b/>
                <w:b/>
              </w:rPr>
            </w:pPr>
            <w:r>
              <w:rPr>
                <w:b/>
              </w:rPr>
              <w:t>95.47</w:t>
            </w:r>
          </w:p>
        </w:tc>
        <w:tc>
          <w:tcPr>
            <w:tcW w:w="1743" w:type="dxa"/>
            <w:tcBorders>
              <w:bottom w:val="single" w:sz="8" w:space="0" w:color="000000"/>
            </w:tcBorders>
            <w:shd w:color="auto" w:fill="auto" w:val="clear"/>
          </w:tcPr>
          <w:p>
            <w:pPr>
              <w:pStyle w:val="TableContents"/>
              <w:rPr/>
            </w:pPr>
            <w:r>
              <w:rPr/>
            </w:r>
          </w:p>
        </w:tc>
      </w:tr>
    </w:tbl>
    <w:p>
      <w:pPr>
        <w:pStyle w:val="Heading3"/>
        <w:numPr>
          <w:ilvl w:val="2"/>
          <w:numId w:val="2"/>
        </w:numPr>
        <w:rPr/>
      </w:pPr>
      <w:r>
        <w:rPr/>
        <w:t>Procurement Lessons Learned</w:t>
      </w:r>
    </w:p>
    <w:p>
      <w:pPr>
        <w:pStyle w:val="TextBody"/>
        <w:numPr>
          <w:ilvl w:val="0"/>
          <w:numId w:val="6"/>
        </w:numPr>
        <w:rPr/>
      </w:pPr>
      <w:r>
        <w:rPr/>
        <w:t>Even knowing the simulated voltage and current value within the limit of component, buy more than one. A wrong switching or closing can burn the most reliable component. (We had purchased duplicates of the triac and the diac, but neither of them failed. We had one diode bridge, and it failed. Murphy’s Law….)</w:t>
      </w:r>
    </w:p>
    <w:p>
      <w:pPr>
        <w:pStyle w:val="TextBody"/>
        <w:numPr>
          <w:ilvl w:val="0"/>
          <w:numId w:val="6"/>
        </w:numPr>
        <w:rPr/>
      </w:pPr>
      <w:r>
        <w:rPr/>
        <w:t>Online listing may not match the received material so do not choose other components without seeing visually by yourself. (In fact, we tried to find heat sinks and enclosure locally, but did not find a local source.)</w:t>
      </w:r>
    </w:p>
    <w:p>
      <w:pPr>
        <w:pStyle w:val="TextBody"/>
        <w:numPr>
          <w:ilvl w:val="0"/>
          <w:numId w:val="6"/>
        </w:numPr>
        <w:rPr/>
      </w:pPr>
      <w:r>
        <w:rPr/>
        <w:t xml:space="preserve">Inner dimensions of the box can be different due to parts that used in connection of box, try to buy locally where it can be “tried on” in the shop, or order a bigger box. </w:t>
      </w:r>
    </w:p>
    <w:p>
      <w:pPr>
        <w:pStyle w:val="TextBody"/>
        <w:numPr>
          <w:ilvl w:val="0"/>
          <w:numId w:val="6"/>
        </w:numPr>
        <w:rPr/>
      </w:pPr>
      <w:r>
        <w:rPr/>
        <w:t>Find a local shop that you can go easily in case of emergency situation like forgetting to order components or burning case.</w:t>
      </w:r>
    </w:p>
    <w:p>
      <w:pPr>
        <w:pStyle w:val="TextBody"/>
        <w:numPr>
          <w:ilvl w:val="0"/>
          <w:numId w:val="6"/>
        </w:numPr>
        <w:rPr/>
      </w:pPr>
      <w:r>
        <w:rPr/>
        <w:t>Order to suitable input-output terminals and implement your circuit. When you are on the implementation phase of circuit, you need to plug the input and output cable so many times and this can cause a trouble for circuit.</w:t>
      </w:r>
    </w:p>
    <w:p>
      <w:pPr>
        <w:pStyle w:val="TextBody"/>
        <w:numPr>
          <w:ilvl w:val="0"/>
          <w:numId w:val="6"/>
        </w:numPr>
        <w:rPr/>
      </w:pPr>
      <w:r>
        <w:rPr/>
        <w:t>Order different rating fuses, you can use low rating fuses at the start of your project.</w:t>
      </w:r>
    </w:p>
    <w:p>
      <w:pPr>
        <w:pStyle w:val="Heading2"/>
        <w:numPr>
          <w:ilvl w:val="1"/>
          <w:numId w:val="3"/>
        </w:numPr>
        <w:rPr/>
      </w:pPr>
      <w:r>
        <w:rPr/>
        <w:t>Project Assembly</w:t>
      </w:r>
    </w:p>
    <w:p>
      <w:pPr>
        <w:pStyle w:val="TextBody"/>
        <w:rPr/>
      </w:pPr>
      <w:r>
        <w:rPr/>
        <w:t>As soon we we had procured the essential components for our project circuit, we began temporary assembly with wires twisted together and minimal soldering. After making the initial circuit connections, we start to test our circuit. According to our test result we made changes in the circuit such as changing potentiometer rating for good control at output and changing the size of heatsinks. Once we were confident that our design would work, we moved to make the connections on the perfboard neat and soldered connections.</w:t>
      </w:r>
    </w:p>
    <w:p>
      <w:pPr>
        <w:pStyle w:val="Normal"/>
        <w:jc w:val="center"/>
        <w:rPr/>
      </w:pPr>
      <w:r>
        <w:rPr/>
        <w:drawing>
          <wp:inline distT="0" distB="0" distL="0" distR="0">
            <wp:extent cx="2688590" cy="201612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688590" cy="2016125"/>
                    </a:xfrm>
                    <a:prstGeom prst="rect">
                      <a:avLst/>
                    </a:prstGeom>
                  </pic:spPr>
                </pic:pic>
              </a:graphicData>
            </a:graphic>
          </wp:inline>
        </w:drawing>
      </w:r>
      <w:r>
        <w:rPr/>
        <w:t xml:space="preserve">  </w:t>
      </w:r>
      <w:r>
        <w:rPr/>
        <w:drawing>
          <wp:inline distT="0" distB="0" distL="0" distR="0">
            <wp:extent cx="1520190" cy="202692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1520190" cy="2026920"/>
                    </a:xfrm>
                    <a:prstGeom prst="rect">
                      <a:avLst/>
                    </a:prstGeom>
                  </pic:spPr>
                </pic:pic>
              </a:graphicData>
            </a:graphic>
          </wp:inline>
        </w:drawing>
      </w:r>
    </w:p>
    <w:p>
      <w:pPr>
        <w:pStyle w:val="Figure"/>
        <w:rPr/>
      </w:pPr>
      <w:bookmarkStart w:id="2" w:name="Ref_Figure6_label_and_number111"/>
      <w:bookmarkStart w:id="3" w:name="Ref_Figure9_label_and_number"/>
      <w:r>
        <w:rPr/>
        <w:t xml:space="preserve">Figure </w:t>
      </w:r>
      <w:r>
        <w:rPr/>
        <w:fldChar w:fldCharType="begin"/>
      </w:r>
      <w:r>
        <w:rPr/>
        <w:instrText> SEQ Figure \* ARABIC </w:instrText>
      </w:r>
      <w:r>
        <w:rPr/>
        <w:fldChar w:fldCharType="separate"/>
      </w:r>
      <w:r>
        <w:rPr/>
        <w:t>1</w:t>
      </w:r>
      <w:r>
        <w:rPr/>
        <w:fldChar w:fldCharType="end"/>
      </w:r>
      <w:bookmarkEnd w:id="2"/>
      <w:bookmarkEnd w:id="3"/>
      <w:r>
        <w:rPr/>
        <w:t>: Photos of Project Assembly and Testing</w:t>
      </w:r>
    </w:p>
    <w:p>
      <w:pPr>
        <w:pStyle w:val="TextBody"/>
        <w:rPr/>
      </w:pPr>
      <w:r>
        <w:rPr/>
      </w:r>
    </w:p>
    <w:p>
      <w:pPr>
        <w:pStyle w:val="Normal"/>
        <w:jc w:val="center"/>
        <w:rPr/>
      </w:pPr>
      <w:r>
        <w:rPr/>
        <w:drawing>
          <wp:inline distT="0" distB="0" distL="0" distR="0">
            <wp:extent cx="3964305" cy="222948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964305" cy="2229485"/>
                    </a:xfrm>
                    <a:prstGeom prst="rect">
                      <a:avLst/>
                    </a:prstGeom>
                  </pic:spPr>
                </pic:pic>
              </a:graphicData>
            </a:graphic>
          </wp:inline>
        </w:drawing>
      </w:r>
    </w:p>
    <w:p>
      <w:pPr>
        <w:pStyle w:val="Figure"/>
        <w:rPr/>
      </w:pPr>
      <w:bookmarkStart w:id="4" w:name="__DdeLink__551_2403823893"/>
      <w:bookmarkStart w:id="5" w:name="Ref_Figure6_label_and_number1111"/>
      <w:bookmarkStart w:id="6" w:name="Ref_Figure9_label_and_number1"/>
      <w:r>
        <w:rPr/>
        <w:t xml:space="preserve">Figure </w:t>
      </w:r>
      <w:r>
        <w:rPr/>
        <w:fldChar w:fldCharType="begin"/>
      </w:r>
      <w:r>
        <w:rPr/>
        <w:instrText> SEQ Figure \* ARABIC </w:instrText>
      </w:r>
      <w:r>
        <w:rPr/>
        <w:fldChar w:fldCharType="separate"/>
      </w:r>
      <w:r>
        <w:rPr/>
        <w:t>2</w:t>
      </w:r>
      <w:r>
        <w:rPr/>
        <w:fldChar w:fldCharType="end"/>
      </w:r>
      <w:bookmarkEnd w:id="5"/>
      <w:bookmarkEnd w:id="6"/>
      <w:r>
        <w:rPr/>
        <w:t xml:space="preserve">: </w:t>
      </w:r>
      <w:r>
        <w:rPr>
          <w:i/>
          <w:iCs/>
          <w:sz w:val="24"/>
        </w:rPr>
        <w:t>Wiring on Perfboard</w:t>
      </w:r>
      <w:bookmarkEnd w:id="4"/>
    </w:p>
    <w:p>
      <w:pPr>
        <w:pStyle w:val="TextBody"/>
        <w:rPr/>
      </w:pPr>
      <w:r>
        <w:rPr/>
      </w:r>
    </w:p>
    <w:p>
      <w:pPr>
        <w:pStyle w:val="Normal"/>
        <w:jc w:val="center"/>
        <w:rPr/>
      </w:pPr>
      <w:r>
        <w:rPr/>
        <w:drawing>
          <wp:inline distT="0" distB="0" distL="0" distR="0">
            <wp:extent cx="3779520" cy="200279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779520" cy="2002790"/>
                    </a:xfrm>
                    <a:prstGeom prst="rect">
                      <a:avLst/>
                    </a:prstGeom>
                  </pic:spPr>
                </pic:pic>
              </a:graphicData>
            </a:graphic>
          </wp:inline>
        </w:drawing>
      </w:r>
    </w:p>
    <w:p>
      <w:pPr>
        <w:pStyle w:val="Normal"/>
        <w:jc w:val="center"/>
        <w:rPr/>
      </w:pPr>
      <w:bookmarkStart w:id="7" w:name="__DdeLink__489_2292555410"/>
      <w:bookmarkStart w:id="8" w:name="Ref_Figure6_label_and_number11111"/>
      <w:bookmarkStart w:id="9" w:name="Ref_Figure9_label_and_number11"/>
      <w:r>
        <w:rPr/>
        <w:t xml:space="preserve">Figure </w:t>
      </w:r>
      <w:r>
        <w:rPr/>
        <w:fldChar w:fldCharType="begin"/>
      </w:r>
      <w:r>
        <w:rPr/>
        <w:instrText> SEQ Figure \* ARABIC </w:instrText>
      </w:r>
      <w:r>
        <w:rPr/>
        <w:fldChar w:fldCharType="separate"/>
      </w:r>
      <w:r>
        <w:rPr/>
        <w:t>3</w:t>
      </w:r>
      <w:r>
        <w:rPr/>
        <w:fldChar w:fldCharType="end"/>
      </w:r>
      <w:bookmarkEnd w:id="8"/>
      <w:bookmarkEnd w:id="9"/>
      <w:r>
        <w:rPr/>
        <w:t xml:space="preserve">: </w:t>
      </w:r>
      <w:r>
        <w:rPr>
          <w:i/>
          <w:iCs/>
          <w:sz w:val="24"/>
        </w:rPr>
        <w:t>Components Mounted in Enclosure</w:t>
      </w:r>
      <w:bookmarkEnd w:id="7"/>
    </w:p>
    <w:p>
      <w:pPr>
        <w:pStyle w:val="Normal"/>
        <w:jc w:val="center"/>
        <w:rPr>
          <w:i/>
          <w:i/>
          <w:iCs/>
          <w:sz w:val="24"/>
        </w:rPr>
      </w:pPr>
      <w:r>
        <w:rPr/>
      </w:r>
    </w:p>
    <w:p>
      <w:pPr>
        <w:pStyle w:val="Normal"/>
        <w:jc w:val="center"/>
        <w:rPr/>
      </w:pPr>
      <w:r>
        <w:rPr/>
        <w:drawing>
          <wp:inline distT="0" distB="0" distL="0" distR="0">
            <wp:extent cx="4145280" cy="206565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4145280" cy="2065655"/>
                    </a:xfrm>
                    <a:prstGeom prst="rect">
                      <a:avLst/>
                    </a:prstGeom>
                  </pic:spPr>
                </pic:pic>
              </a:graphicData>
            </a:graphic>
          </wp:inline>
        </w:drawing>
      </w:r>
    </w:p>
    <w:p>
      <w:pPr>
        <w:pStyle w:val="Normal"/>
        <w:jc w:val="center"/>
        <w:rPr/>
      </w:pPr>
      <w:bookmarkStart w:id="10" w:name="Ref_Figure6_label_and_number111111"/>
      <w:bookmarkStart w:id="11" w:name="Ref_Figure9_label_and_number111"/>
      <w:r>
        <w:rPr/>
        <w:t xml:space="preserve">Figure </w:t>
      </w:r>
      <w:r>
        <w:rPr/>
        <w:fldChar w:fldCharType="begin"/>
      </w:r>
      <w:r>
        <w:rPr/>
        <w:instrText> SEQ Figure \* ARABIC </w:instrText>
      </w:r>
      <w:r>
        <w:rPr/>
        <w:fldChar w:fldCharType="separate"/>
      </w:r>
      <w:r>
        <w:rPr/>
        <w:t>4</w:t>
      </w:r>
      <w:r>
        <w:rPr/>
        <w:fldChar w:fldCharType="end"/>
      </w:r>
      <w:bookmarkEnd w:id="10"/>
      <w:bookmarkEnd w:id="11"/>
      <w:r>
        <w:rPr/>
        <w:t xml:space="preserve">: </w:t>
      </w:r>
      <w:r>
        <w:rPr>
          <w:rFonts w:eastAsia="Noto Sans CJK SC Regular" w:cs="Lohit Devanagari"/>
          <w:i/>
          <w:iCs/>
          <w:color w:val="auto"/>
          <w:kern w:val="2"/>
          <w:sz w:val="24"/>
          <w:szCs w:val="24"/>
          <w:lang w:val="en-US" w:eastAsia="zh-CN" w:bidi="hi-IN"/>
        </w:rPr>
        <w:t>Views of Enclosure Exterior</w:t>
      </w:r>
    </w:p>
    <w:p>
      <w:pPr>
        <w:pStyle w:val="TextBody"/>
        <w:rPr/>
      </w:pPr>
      <w:r>
        <w:rPr/>
        <w:t>During testing, we had observed that the triac heat sink was running hotter than we wanted at load levels that were slightly less than what we expected from the kettle load. As such, we preferred to use a larger heat sink for the triac. We were not successful in locating heat sinks and an enclosure locally, so we ordered these parts from Direnc.net.</w:t>
      </w:r>
    </w:p>
    <w:p>
      <w:pPr>
        <w:pStyle w:val="TextBody"/>
        <w:rPr/>
      </w:pPr>
      <w:r>
        <w:rPr/>
        <w:t>Although the dimensions for the heat sink and enclosure as listed on the website should have been adequate, the enclosure turned out to be constructed with the connection between the upper and lower halves of the enclosure such that it majorly interfered with utilizing all the interior volume of the enclosure. We were able to modify the interior of the box, cutting out the supports that were interfering with mounting our components in the enclosure, but then the enclosure did not close securely as it was designed to do.</w:t>
      </w:r>
    </w:p>
    <w:p>
      <w:pPr>
        <w:pStyle w:val="TextBody"/>
        <w:rPr/>
      </w:pPr>
      <w:r>
        <w:rPr/>
        <w:t xml:space="preserve">Additionally, the heat sink that we received was several centimeters larger than the published dimensions of the heat sink on the Direnc.net website, so it was unable to fit in the enclosure. As such, we had to stay with our first heatsinks and were not able to change them out as we had wanted to do based on our testing. </w:t>
      </w:r>
      <w:r>
        <w:rPr/>
        <w:t>Instead, we mounted some smaller additional heatsinks to the triac heatsink to somewhat lower the thermal resistance of the heatsink.</w:t>
      </w:r>
    </w:p>
    <w:p>
      <w:pPr>
        <w:pStyle w:val="Heading3"/>
        <w:numPr>
          <w:ilvl w:val="2"/>
          <w:numId w:val="2"/>
        </w:numPr>
        <w:rPr/>
      </w:pPr>
      <w:r>
        <w:rPr/>
        <w:t>Project Assembly Lessons Learned</w:t>
      </w:r>
    </w:p>
    <w:p>
      <w:pPr>
        <w:pStyle w:val="TextBody"/>
        <w:numPr>
          <w:ilvl w:val="0"/>
          <w:numId w:val="7"/>
        </w:numPr>
        <w:rPr/>
      </w:pPr>
      <w:r>
        <w:rPr/>
        <w:t xml:space="preserve">Drawing the circuit schematic </w:t>
      </w:r>
      <w:r>
        <w:rPr>
          <w:i/>
          <w:iCs/>
        </w:rPr>
        <w:t>including pinouts &amp; connections</w:t>
      </w:r>
      <w:r>
        <w:rPr/>
        <w:t xml:space="preserve"> can be logical for project. Our circuit was so simple that it seemed we could assemble it from memory, but in fact we lost time troubleshooting wrong connections that could have been prevented by more careful design documentation, particularly layout with attention to device pinouts.</w:t>
      </w:r>
    </w:p>
    <w:p>
      <w:pPr>
        <w:pStyle w:val="TextBody"/>
        <w:numPr>
          <w:ilvl w:val="0"/>
          <w:numId w:val="7"/>
        </w:numPr>
        <w:rPr/>
      </w:pPr>
      <w:r>
        <w:rPr/>
        <w:t>Terminals of the triac and bridge rectifier did not fit the holes in our perfboard. So, we drilled holes for those components. After that point, connection changes in these two components cause us lots of trouble. We could have bought terminal blocks (of appropriate current and voltage rating) for these components and connected them to the circuit board with the help of the terminal blocks.</w:t>
      </w:r>
    </w:p>
    <w:p>
      <w:pPr>
        <w:pStyle w:val="TextBody"/>
        <w:numPr>
          <w:ilvl w:val="0"/>
          <w:numId w:val="7"/>
        </w:numPr>
        <w:spacing w:before="240" w:after="240"/>
        <w:rPr/>
      </w:pPr>
      <w:r>
        <w:rPr/>
        <w:t>Doing minimal assembly so as to begin testing as early as possible worked well in most regards, but there were instances where we had to resolder connections due to the stresses of connecting and disconnecting from connectors that were not mounted in an enclosure as they ar</w:t>
      </w:r>
      <w:bookmarkStart w:id="12" w:name="_GoBack"/>
      <w:bookmarkEnd w:id="12"/>
      <w:r>
        <w:rPr/>
        <w:t>e intended to be.</w:t>
      </w:r>
    </w:p>
    <w:sectPr>
      <w:type w:val="nextPage"/>
      <w:pgSz w:w="11906" w:h="16838"/>
      <w:pgMar w:left="1440" w:right="1440" w:header="0" w:top="1440" w:footer="0" w:bottom="1440"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00"/>
  <w:defaultTabStop w:val="709"/>
  <w:compat>
    <w:compatSetting w:name="compatibilityMode" w:uri="http://schemas.microsoft.com/office/word" w:val="12"/>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en-US"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before="0" w:after="0"/>
      <w:jc w:val="left"/>
    </w:pPr>
    <w:rPr>
      <w:rFonts w:ascii="Arial" w:hAnsi="Arial" w:eastAsia="Noto Sans CJK SC Regular" w:cs="Lohit Devanagari"/>
      <w:color w:val="auto"/>
      <w:kern w:val="2"/>
      <w:sz w:val="24"/>
      <w:szCs w:val="24"/>
      <w:lang w:val="en-US"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28"/>
      <w:szCs w:val="32"/>
    </w:rPr>
  </w:style>
  <w:style w:type="paragraph" w:styleId="Heading3">
    <w:name w:val="Heading 3"/>
    <w:basedOn w:val="Heading"/>
    <w:next w:val="TextBody"/>
    <w:qFormat/>
    <w:rsid w:val="0035220c"/>
    <w:pPr>
      <w:numPr>
        <w:ilvl w:val="2"/>
        <w:numId w:val="1"/>
      </w:numPr>
      <w:outlineLvl w:val="2"/>
    </w:pPr>
    <w:rPr>
      <w:bCs/>
      <w:u w:val="single"/>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b7280d"/>
    <w:rPr>
      <w:color w:val="808080"/>
    </w:rPr>
  </w:style>
  <w:style w:type="character" w:styleId="Strong">
    <w:name w:val="Strong"/>
    <w:basedOn w:val="DefaultParagraphFont"/>
    <w:uiPriority w:val="22"/>
    <w:qFormat/>
    <w:rsid w:val="004803ba"/>
    <w:rPr>
      <w:b/>
      <w:bCs/>
    </w:rPr>
  </w:style>
  <w:style w:type="character" w:styleId="InternetLink" w:customStyle="1">
    <w:name w:val="Internet Link"/>
    <w:rPr>
      <w:color w:val="000080"/>
      <w:u w:val="single"/>
    </w:rPr>
  </w:style>
  <w:style w:type="character" w:styleId="IndexLink" w:customStyle="1">
    <w:name w:val="Index Link"/>
    <w:qFormat/>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paragraph" w:styleId="Heading" w:customStyle="1">
    <w:name w:val="Heading"/>
    <w:basedOn w:val="Normal"/>
    <w:next w:val="TextBody"/>
    <w:qFormat/>
    <w:rsid w:val="0035220c"/>
    <w:pPr>
      <w:keepNext w:val="true"/>
      <w:spacing w:before="240" w:after="240"/>
    </w:pPr>
    <w:rPr>
      <w:szCs w:val="28"/>
    </w:rPr>
  </w:style>
  <w:style w:type="paragraph" w:styleId="TextBody">
    <w:name w:val="Body Text"/>
    <w:basedOn w:val="Normal"/>
    <w:rsid w:val="001e25ec"/>
    <w:pPr>
      <w:spacing w:lineRule="auto" w:line="276" w:before="240" w:after="2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itle">
    <w:name w:val="Title"/>
    <w:basedOn w:val="Heading"/>
    <w:qFormat/>
    <w:pPr>
      <w:jc w:val="center"/>
    </w:pPr>
    <w:rPr>
      <w:b/>
      <w:bCs/>
      <w:sz w:val="56"/>
      <w:szCs w:val="56"/>
    </w:rPr>
  </w:style>
  <w:style w:type="paragraph" w:styleId="Subtitle">
    <w:name w:val="Subtitle"/>
    <w:basedOn w:val="Heading"/>
    <w:qFormat/>
    <w:pPr>
      <w:spacing w:before="60" w:after="120"/>
      <w:jc w:val="center"/>
    </w:pPr>
    <w:rPr>
      <w:color w:val="808080"/>
      <w:sz w:val="36"/>
      <w:szCs w:val="36"/>
    </w:rPr>
  </w:style>
  <w:style w:type="paragraph" w:styleId="Figure" w:customStyle="1">
    <w:name w:val="Figure"/>
    <w:basedOn w:val="Caption1"/>
    <w:next w:val="TextBody"/>
    <w:qFormat/>
    <w:rsid w:val="001e25ec"/>
    <w:pPr>
      <w:spacing w:before="0" w:after="240"/>
      <w:jc w:val="center"/>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Table" w:customStyle="1">
    <w:name w:val="Table"/>
    <w:basedOn w:val="Caption1"/>
    <w:qFormat/>
    <w:pPr>
      <w:jc w:val="center"/>
    </w:pPr>
    <w:rPr/>
  </w:style>
  <w:style w:type="paragraph" w:styleId="FrameContents" w:customStyle="1">
    <w:name w:val="Frame Contents"/>
    <w:basedOn w:val="Normal"/>
    <w:qFormat/>
    <w:pPr/>
    <w:rPr/>
  </w:style>
  <w:style w:type="paragraph" w:styleId="Toaheading">
    <w:name w:val="toa heading"/>
    <w:basedOn w:val="Heading"/>
    <w:qFormat/>
    <w:pPr>
      <w:suppressLineNumbers/>
    </w:pPr>
    <w:rPr>
      <w:b/>
      <w:bCs/>
      <w:sz w:val="32"/>
      <w:szCs w:val="32"/>
    </w:rPr>
  </w:style>
  <w:style w:type="paragraph" w:styleId="Contents1">
    <w:name w:val="TOC 1"/>
    <w:basedOn w:val="Index"/>
    <w:pPr>
      <w:tabs>
        <w:tab w:val="clear" w:pos="709"/>
        <w:tab w:val="right" w:pos="9026" w:leader="dot"/>
      </w:tabs>
    </w:pPr>
    <w:rPr/>
  </w:style>
  <w:style w:type="paragraph" w:styleId="Contents2">
    <w:name w:val="TOC 2"/>
    <w:basedOn w:val="Index"/>
    <w:pPr>
      <w:tabs>
        <w:tab w:val="clear" w:pos="709"/>
        <w:tab w:val="right" w:pos="8743" w:leader="dot"/>
      </w:tabs>
      <w:ind w:left="283"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Relationship Id="rId1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B0F80C-B1C2-4D2C-84FF-3C778CE42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TotalTime>
  <Application>LibreOffice/6.3.4.2$Linux_X86_64 LibreOffice_project/30$Build-2</Application>
  <Pages>5</Pages>
  <Words>1175</Words>
  <Characters>5829</Characters>
  <CharactersWithSpaces>6835</CharactersWithSpaces>
  <Paragraphs>164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2019-12-03T00:39:00Z</dcterms:created>
  <dc:creator/>
  <dc:description/>
  <dc:language>en-US</dc:language>
  <cp:lastModifiedBy/>
  <dcterms:modified xsi:type="dcterms:W3CDTF">2020-01-15T11:29:32Z</dcterms:modified>
  <cp:revision>141</cp:revision>
  <dc:subject/>
  <dc:title>"Blue Smoke" Hardware Project Simulation Report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